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9"/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_GBK" w:eastAsia="方正小标宋_GBK"/>
          <w:snapToGrid w:val="0"/>
          <w:color w:val="000000"/>
          <w:kern w:val="0"/>
          <w:sz w:val="44"/>
          <w:szCs w:val="44"/>
          <w:lang w:val="zh-CN"/>
        </w:rPr>
      </w:pPr>
      <w:r>
        <w:rPr>
          <w:rFonts w:ascii="方正小标宋_GBK" w:eastAsia="方正小标宋_GBK" w:hint="eastAsia"/>
          <w:bCs/>
          <w:snapToGrid w:val="0"/>
          <w:color w:val="000000"/>
          <w:sz w:val="44"/>
          <w:szCs w:val="44"/>
          <w:lang w:val="zh-CN"/>
        </w:rPr>
        <w:t>实蝇诱捕器及诱剂采购技术指标</w:t>
      </w:r>
    </w:p>
    <w:p>
      <w:pPr>
        <w:pStyle w:val="19"/>
        <w:autoSpaceDE w:val="0"/>
        <w:autoSpaceDN w:val="0"/>
        <w:adjustRightInd w:val="0"/>
        <w:snapToGrid w:val="0"/>
        <w:spacing w:line="560" w:lineRule="exact"/>
        <w:jc w:val="center"/>
        <w:rPr>
          <w:rFonts w:eastAsia="方正黑体_GBK"/>
          <w:snapToGrid w:val="0"/>
          <w:color w:val="000000"/>
          <w:kern w:val="0"/>
          <w:sz w:val="32"/>
          <w:szCs w:val="32"/>
          <w:lang w:val="zh-CN"/>
        </w:rPr>
      </w:pPr>
    </w:p>
    <w:p>
      <w:pPr>
        <w:pStyle w:val="19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黑体_GBK"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黑体_GBK"/>
          <w:snapToGrid w:val="0"/>
          <w:color w:val="000000"/>
          <w:kern w:val="0"/>
          <w:sz w:val="32"/>
          <w:szCs w:val="32"/>
          <w:lang w:val="zh-CN"/>
        </w:rPr>
        <w:t>一、诱捕器及诱剂</w:t>
      </w:r>
    </w:p>
    <w:p>
      <w:pPr>
        <w:pStyle w:val="19"/>
        <w:autoSpaceDE w:val="0"/>
        <w:autoSpaceDN w:val="0"/>
        <w:adjustRightInd w:val="0"/>
        <w:snapToGrid w:val="0"/>
        <w:spacing w:line="560" w:lineRule="exact"/>
        <w:ind w:firstLine="590"/>
        <w:jc w:val="left"/>
        <w:rPr>
          <w:rFonts w:eastAsia="方正楷体_GBK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eastAsia="方正楷体_GBK"/>
          <w:b/>
          <w:bCs/>
          <w:snapToGrid w:val="0"/>
          <w:color w:val="000000"/>
          <w:kern w:val="0"/>
          <w:sz w:val="32"/>
          <w:szCs w:val="32"/>
        </w:rPr>
        <w:t>（一）诱剂要求。</w:t>
      </w:r>
      <w:bookmarkStart w:id="0" w:name="_GoBack"/>
      <w:bookmarkEnd w:id="0"/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90"/>
        <w:outlineLvl w:val="0"/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  <w:t>1．地中海实蝇诱芯。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地中海实蝇诱芯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Trimedlure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（简称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TML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），属雄性外激素诱剂，聚合栓状。使用时加入粘蝇纸块以粘着诱入的成虫。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诱捕对象主要为腊实蝇属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Ceratitis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实蝇成虫，包括地中海实蝇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C. capitata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、纳塔尔实蝇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C. rosa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、非洲番茄实蝇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C. pedestris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、非洲芒果实蝇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C. cosyra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和黑莓实蝇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C. rubivora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等。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含配套使用的粘蝇纸。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90"/>
        <w:outlineLvl w:val="0"/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  <w:t>2．桔小实蝇诱剂。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桔小实蝇引诱剂M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ethyl Eugenol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（简称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ME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），属雄性外激素引诱剂，液体。使用时，需加入约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5%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的马拉松原药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（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年度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监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测诱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剂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中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已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加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入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），以杀死诱入的成虫，并参照农药安全使用相关要求操作。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诱捕对象主要为果实蝇属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Bactrocera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成虫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包括番石榴实蝇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correcta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、桔小实蝇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do</w:t>
      </w:r>
      <w:r>
        <w:rPr>
          <w:rFonts w:eastAsia="方正仿宋_GBK" w:hint="eastAsia"/>
          <w:i/>
          <w:iCs/>
          <w:snapToGrid w:val="0"/>
          <w:color w:val="000000"/>
          <w:kern w:val="0"/>
          <w:sz w:val="32"/>
          <w:szCs w:val="32"/>
        </w:rPr>
        <w:t>r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salis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、芒果实蝇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occipitalis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、三带实蝇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umbrosa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、桃实蝇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 xml:space="preserve">B. Zonata 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等。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90"/>
        <w:outlineLvl w:val="0"/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  <w:t>3．瓜实蝇引诱剂。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napToGrid w:val="0"/>
          <w:color w:val="000000"/>
          <w:kern w:val="0"/>
          <w:sz w:val="32"/>
          <w:szCs w:val="32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瓜实蝇引诱剂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Cuelure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（简称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CUE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），属雄性外激素引诱剂，液体。使用时，需加入约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8%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的马拉松原药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（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年度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监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测诱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剂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中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已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加</w:t>
      </w:r>
      <w:r>
        <w:rPr>
          <w:rFonts w:eastAsia="方正仿宋_GBK" w:hint="eastAsia"/>
          <w:snapToGrid w:val="0"/>
          <w:color w:val="000000"/>
          <w:kern w:val="0"/>
          <w:sz w:val="32"/>
          <w:szCs w:val="32"/>
          <w:lang w:val="zh-CN"/>
        </w:rPr>
        <w:t>入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），以杀死诱入的成虫，并请参照农药安全使用相关要求操作。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  <w:lang w:val="zh-CN"/>
        </w:rPr>
        <w:t>诱捕对象主要为</w:t>
      </w:r>
      <w:r>
        <w:rPr>
          <w:rFonts w:eastAsia="方正仿宋_GBK" w:hint="eastAsia"/>
          <w:kern w:val="0"/>
          <w:sz w:val="32"/>
          <w:szCs w:val="32"/>
          <w:lang w:val="zh-CN"/>
        </w:rPr>
        <w:t>镞实蝇属</w:t>
      </w:r>
      <w:r>
        <w:rPr>
          <w:rFonts w:eastAsia="方正仿宋_GBK" w:hint="eastAsia"/>
          <w:i/>
          <w:iCs/>
          <w:kern w:val="0"/>
          <w:sz w:val="32"/>
          <w:szCs w:val="32"/>
        </w:rPr>
        <w:t>Zeugodacus</w:t>
      </w:r>
      <w:r>
        <w:rPr>
          <w:rFonts w:eastAsia="方正仿宋_GBK" w:hint="eastAsia"/>
          <w:kern w:val="0"/>
          <w:sz w:val="32"/>
          <w:szCs w:val="32"/>
        </w:rPr>
        <w:t>、</w:t>
      </w:r>
      <w:r>
        <w:rPr>
          <w:rFonts w:eastAsia="方正仿宋_GBK"/>
          <w:kern w:val="0"/>
          <w:sz w:val="32"/>
          <w:szCs w:val="32"/>
          <w:lang w:val="zh-CN"/>
        </w:rPr>
        <w:t>果实蝇属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Bactrocera</w:t>
      </w:r>
      <w:r>
        <w:rPr>
          <w:rFonts w:eastAsia="方正仿宋_GBK"/>
          <w:kern w:val="0"/>
          <w:sz w:val="32"/>
          <w:szCs w:val="32"/>
          <w:lang w:val="zh-CN"/>
        </w:rPr>
        <w:t>和寡鬃实蝇属</w:t>
      </w:r>
      <w:r>
        <w:rPr>
          <w:rFonts w:eastAsia="方正仿宋_GBK" w:hint="eastAsia"/>
          <w:i/>
          <w:iCs/>
          <w:kern w:val="0"/>
          <w:sz w:val="32"/>
          <w:szCs w:val="32"/>
        </w:rPr>
        <w:t>Dacus</w:t>
      </w:r>
      <w:r>
        <w:rPr>
          <w:rFonts w:eastAsia="方正仿宋_GBK"/>
          <w:kern w:val="0"/>
          <w:sz w:val="32"/>
          <w:szCs w:val="32"/>
          <w:lang w:val="zh-CN"/>
        </w:rPr>
        <w:t>成虫</w:t>
      </w:r>
      <w:r>
        <w:rPr>
          <w:rFonts w:eastAsia="方正仿宋_GBK"/>
          <w:kern w:val="0"/>
          <w:sz w:val="32"/>
          <w:szCs w:val="32"/>
        </w:rPr>
        <w:t>，</w:t>
      </w:r>
      <w:r>
        <w:rPr>
          <w:rFonts w:eastAsia="方正仿宋_GBK"/>
          <w:kern w:val="0"/>
          <w:sz w:val="32"/>
          <w:szCs w:val="32"/>
          <w:lang w:val="zh-CN"/>
        </w:rPr>
        <w:t>包括瓜实蝇</w:t>
      </w:r>
      <w:r>
        <w:rPr>
          <w:rFonts w:eastAsia="方正仿宋_GBK" w:hint="eastAsia"/>
          <w:i/>
          <w:iCs/>
          <w:kern w:val="0"/>
          <w:sz w:val="32"/>
          <w:szCs w:val="32"/>
        </w:rPr>
        <w:t>Z</w:t>
      </w:r>
      <w:r>
        <w:rPr>
          <w:rFonts w:eastAsia="方正仿宋_GBK"/>
          <w:i/>
          <w:iCs/>
          <w:kern w:val="0"/>
          <w:sz w:val="32"/>
          <w:szCs w:val="32"/>
        </w:rPr>
        <w:t>. cucurbitae</w:t>
      </w:r>
      <w:r>
        <w:rPr>
          <w:rFonts w:eastAsia="方正仿宋_GBK"/>
          <w:kern w:val="0"/>
          <w:sz w:val="32"/>
          <w:szCs w:val="32"/>
          <w:lang w:val="zh-CN"/>
        </w:rPr>
        <w:t>、南瓜实蝇</w:t>
      </w:r>
      <w:r>
        <w:rPr>
          <w:rFonts w:eastAsia="方正仿宋_GBK" w:hint="eastAsia"/>
          <w:i/>
          <w:iCs/>
          <w:kern w:val="0"/>
          <w:sz w:val="32"/>
          <w:szCs w:val="32"/>
        </w:rPr>
        <w:t>Z.</w:t>
      </w:r>
      <w:r>
        <w:rPr>
          <w:rFonts w:eastAsia="方正仿宋_GBK"/>
          <w:i/>
          <w:iCs/>
          <w:kern w:val="0"/>
          <w:sz w:val="32"/>
          <w:szCs w:val="32"/>
        </w:rPr>
        <w:t xml:space="preserve"> tau</w:t>
      </w:r>
      <w:r>
        <w:rPr>
          <w:rFonts w:eastAsia="方正仿宋_GBK"/>
          <w:kern w:val="0"/>
          <w:sz w:val="32"/>
          <w:szCs w:val="32"/>
          <w:lang w:val="zh-CN"/>
        </w:rPr>
        <w:t>、昆士兰实蝇</w:t>
      </w:r>
      <w:r>
        <w:rPr>
          <w:rFonts w:eastAsia="方正仿宋_GBK"/>
          <w:i/>
          <w:iCs/>
          <w:kern w:val="0"/>
          <w:sz w:val="32"/>
          <w:szCs w:val="32"/>
        </w:rPr>
        <w:t>B. tryoni</w:t>
      </w:r>
      <w:r>
        <w:rPr>
          <w:rFonts w:eastAsia="方正仿宋_GBK" w:hint="eastAsia"/>
          <w:kern w:val="0"/>
          <w:sz w:val="32"/>
          <w:szCs w:val="32"/>
        </w:rPr>
        <w:t>、</w:t>
      </w:r>
      <w:r>
        <w:rPr>
          <w:rFonts w:eastAsia="方正仿宋_GBK"/>
          <w:kern w:val="0"/>
          <w:sz w:val="32"/>
          <w:szCs w:val="32"/>
          <w:lang w:val="zh-CN"/>
        </w:rPr>
        <w:t>具条实蝇</w:t>
      </w:r>
      <w:r>
        <w:rPr>
          <w:rFonts w:eastAsia="方正仿宋_GBK"/>
          <w:i/>
          <w:iCs/>
          <w:kern w:val="0"/>
          <w:sz w:val="32"/>
          <w:szCs w:val="32"/>
        </w:rPr>
        <w:t>B. scutellata</w:t>
      </w:r>
      <w:r>
        <w:rPr>
          <w:rFonts w:eastAsia="方正仿宋_GBK"/>
          <w:kern w:val="0"/>
          <w:sz w:val="32"/>
          <w:szCs w:val="32"/>
          <w:lang w:val="zh-CN"/>
        </w:rPr>
        <w:t>和三点棍腹实蝇</w:t>
      </w:r>
      <w:r>
        <w:rPr>
          <w:rFonts w:eastAsia="方正仿宋_GBK"/>
          <w:i/>
          <w:iCs/>
          <w:kern w:val="0"/>
          <w:sz w:val="32"/>
          <w:szCs w:val="32"/>
        </w:rPr>
        <w:t>D</w:t>
      </w:r>
      <w:r>
        <w:rPr>
          <w:rFonts w:eastAsia="方正仿宋_GBK" w:hint="eastAsia"/>
          <w:i/>
          <w:iCs/>
          <w:kern w:val="0"/>
          <w:sz w:val="32"/>
          <w:szCs w:val="32"/>
        </w:rPr>
        <w:t>acus</w:t>
      </w:r>
      <w:r>
        <w:rPr>
          <w:rFonts w:eastAsia="方正仿宋_GBK"/>
          <w:i/>
          <w:iCs/>
          <w:kern w:val="0"/>
          <w:sz w:val="32"/>
          <w:szCs w:val="32"/>
        </w:rPr>
        <w:t>. trimacula</w:t>
      </w:r>
      <w:r>
        <w:rPr>
          <w:rFonts w:eastAsia="方正仿宋_GBK"/>
          <w:kern w:val="0"/>
          <w:sz w:val="32"/>
          <w:szCs w:val="32"/>
          <w:lang w:val="zh-CN"/>
        </w:rPr>
        <w:t>等。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90"/>
        <w:outlineLvl w:val="0"/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</w:pPr>
      <w:r>
        <w:rPr>
          <w:rFonts w:eastAsia="方正仿宋_GBK"/>
          <w:b/>
          <w:bCs/>
          <w:snapToGrid w:val="0"/>
          <w:color w:val="000000"/>
          <w:kern w:val="0"/>
          <w:sz w:val="32"/>
          <w:szCs w:val="32"/>
          <w:lang w:val="zh-CN"/>
        </w:rPr>
        <w:t>4．蛋白诱饵。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蛋白诱饵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Protein Bait (PB)，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是一种食物引诱物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固体。使用时溶于水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借散发出氨味吸引成虫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，成虫进入诱捕器后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溺水而死。</w:t>
      </w:r>
    </w:p>
    <w:p>
      <w:pPr>
        <w:pStyle w:val="21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napToGrid w:val="0"/>
          <w:color w:val="000000"/>
          <w:kern w:val="0"/>
          <w:sz w:val="32"/>
          <w:szCs w:val="32"/>
        </w:rPr>
      </w:pP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诱捕对象主要为按实蝇属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Anastrepha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、绕实蝇属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Rhagoletis</w:t>
      </w:r>
      <w:r>
        <w:rPr>
          <w:rFonts w:eastAsia="方正仿宋_GBK"/>
          <w:iCs/>
          <w:snapToGrid w:val="0"/>
          <w:color w:val="000000"/>
          <w:kern w:val="0"/>
          <w:sz w:val="32"/>
          <w:szCs w:val="32"/>
        </w:rPr>
        <w:t>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果实蝇属部分</w:t>
      </w:r>
      <w:r>
        <w:rPr>
          <w:rFonts w:eastAsia="方正仿宋_GBK"/>
          <w:iCs/>
          <w:snapToGrid w:val="0"/>
          <w:color w:val="000000"/>
          <w:kern w:val="0"/>
          <w:sz w:val="32"/>
          <w:szCs w:val="32"/>
        </w:rPr>
        <w:t>成虫，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包括南美按实蝇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A. fraterculus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、墨西哥实蝇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A. ludens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、辣椒实蝇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latifrons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、蜜柑大实蝇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tsuneonis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、桔大实蝇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B. minax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和苹果实蝇</w:t>
      </w:r>
      <w:r>
        <w:rPr>
          <w:rFonts w:eastAsia="方正仿宋_GBK"/>
          <w:i/>
          <w:iCs/>
          <w:snapToGrid w:val="0"/>
          <w:color w:val="000000"/>
          <w:kern w:val="0"/>
          <w:sz w:val="32"/>
          <w:szCs w:val="32"/>
        </w:rPr>
        <w:t>R. pomomella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等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，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以及其他对</w:t>
      </w:r>
      <w:r>
        <w:rPr>
          <w:rFonts w:eastAsia="方正仿宋_GBK"/>
          <w:snapToGrid w:val="0"/>
          <w:color w:val="000000"/>
          <w:kern w:val="0"/>
          <w:sz w:val="32"/>
          <w:szCs w:val="32"/>
        </w:rPr>
        <w:t>ME或CUE未有诱集效果的果实蝇</w:t>
      </w:r>
      <w:r>
        <w:rPr>
          <w:rFonts w:eastAsia="方正仿宋_GBK"/>
          <w:snapToGrid w:val="0"/>
          <w:color w:val="000000"/>
          <w:kern w:val="0"/>
          <w:sz w:val="32"/>
          <w:szCs w:val="32"/>
          <w:lang w:val="zh-CN"/>
        </w:rPr>
        <w:t>和寡鬃实蝇属成虫。</w:t>
      </w:r>
    </w:p>
    <w:p>
      <w:pPr>
        <w:pStyle w:val="22"/>
        <w:autoSpaceDE w:val="0"/>
        <w:autoSpaceDN w:val="0"/>
        <w:adjustRightInd w:val="0"/>
        <w:snapToGrid w:val="0"/>
        <w:spacing w:line="560" w:lineRule="exact"/>
        <w:ind w:firstLine="590"/>
        <w:outlineLvl w:val="0"/>
        <w:rPr>
          <w:rFonts w:ascii="方正楷体_GBK" w:eastAsia="方正楷体_GBK"/>
          <w:b/>
          <w:bCs/>
          <w:snapToGrid w:val="0"/>
          <w:color w:val="000000"/>
          <w:sz w:val="32"/>
          <w:szCs w:val="32"/>
          <w:lang w:val="zh-CN" w:eastAsia="zh-CN"/>
        </w:rPr>
      </w:pPr>
      <w:r>
        <w:rPr>
          <w:rFonts w:ascii="方正楷体_GBK" w:eastAsia="方正楷体_GBK" w:hint="eastAsia"/>
          <w:b/>
          <w:bCs/>
          <w:snapToGrid w:val="0"/>
          <w:color w:val="000000"/>
          <w:sz w:val="32"/>
          <w:szCs w:val="32"/>
          <w:lang w:val="zh-CN" w:eastAsia="zh-CN"/>
        </w:rPr>
        <w:t>（二）诱捕器要求（如图1-3）</w:t>
      </w:r>
    </w:p>
    <w:p>
      <w:pPr>
        <w:spacing w:line="560" w:lineRule="exact"/>
        <w:jc w:val="left"/>
      </w:pPr>
      <w:r>
        <w:rPr>
          <w:snapToGrid w:val="0"/>
          <w:color w:val="000000"/>
          <w:kern w:val="0"/>
          <w:szCs w:val="32"/>
        </w:rPr>
        <w:drawing>
          <wp:anchor distT="0" distB="0" distL="114300" distR="114300" simplePos="0" relativeHeight="10" behindDoc="0" locked="0" layoutInCell="1" hidden="0" allowOverlap="0">
            <wp:simplePos x="0" y="0"/>
            <wp:positionH relativeFrom="column">
              <wp:posOffset>339656</wp:posOffset>
            </wp:positionH>
            <wp:positionV relativeFrom="paragraph">
              <wp:posOffset>132967</wp:posOffset>
            </wp:positionV>
            <wp:extent cx="4805178" cy="2064478"/>
            <wp:effectExtent l="0" t="0" r="0" b="0"/>
            <wp:wrapSquare wrapText="bothSides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 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05178" cy="2064478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jc w:val="left"/>
      </w:pPr>
    </w:p>
    <w:p>
      <w:pPr>
        <w:spacing w:line="560" w:lineRule="exact"/>
        <w:jc w:val="left"/>
      </w:pPr>
    </w:p>
    <w:p>
      <w:pPr>
        <w:spacing w:line="560" w:lineRule="exact"/>
        <w:jc w:val="left"/>
      </w:pPr>
    </w:p>
    <w:p>
      <w:pPr>
        <w:spacing w:line="560" w:lineRule="exact"/>
        <w:jc w:val="left"/>
      </w:pPr>
    </w:p>
    <w:p>
      <w:pPr>
        <w:spacing w:line="560" w:lineRule="exact"/>
        <w:jc w:val="left"/>
      </w:pPr>
    </w:p>
    <w:p>
      <w:pPr>
        <w:spacing w:line="560" w:lineRule="exact"/>
        <w:ind w:firstLineChars="250" w:firstLine="590"/>
        <w:jc w:val="left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图</w:t>
      </w:r>
      <w:r>
        <w:rPr>
          <w:color w:val="000000"/>
          <w:sz w:val="24"/>
          <w:szCs w:val="24"/>
        </w:rPr>
        <w:t xml:space="preserve">1 </w:t>
      </w:r>
      <w:r>
        <w:rPr>
          <w:rFonts w:hint="eastAsia"/>
          <w:color w:val="000000"/>
          <w:sz w:val="24"/>
          <w:szCs w:val="24"/>
          <w:lang w:val="zh-CN"/>
        </w:rPr>
        <w:t xml:space="preserve">液体诱剂诱捕器 </w:t>
      </w:r>
      <w:r>
        <w:rPr>
          <w:rFonts w:hint="eastAsia"/>
          <w:color w:val="000000"/>
          <w:sz w:val="24"/>
          <w:szCs w:val="24"/>
        </w:rPr>
        <w:t>图</w:t>
      </w:r>
      <w:r>
        <w:rPr>
          <w:color w:val="000000"/>
          <w:sz w:val="24"/>
          <w:szCs w:val="24"/>
        </w:rPr>
        <w:t xml:space="preserve">2 </w:t>
      </w:r>
      <w:r>
        <w:rPr>
          <w:rFonts w:hint="eastAsia"/>
          <w:color w:val="000000"/>
          <w:sz w:val="24"/>
          <w:szCs w:val="24"/>
          <w:lang w:val="zh-CN"/>
        </w:rPr>
        <w:t>固体诱芯诱捕器</w:t>
      </w:r>
      <w:r>
        <w:rPr>
          <w:rFonts w:hint="eastAsia"/>
          <w:color w:val="000000"/>
          <w:sz w:val="24"/>
          <w:szCs w:val="24"/>
        </w:rPr>
        <w:t>图</w:t>
      </w:r>
      <w:r>
        <w:rPr>
          <w:color w:val="000000"/>
          <w:sz w:val="24"/>
          <w:szCs w:val="24"/>
        </w:rPr>
        <w:t xml:space="preserve">3 </w:t>
      </w:r>
      <w:r>
        <w:rPr>
          <w:rFonts w:hint="eastAsia"/>
          <w:color w:val="000000"/>
          <w:sz w:val="24"/>
          <w:szCs w:val="24"/>
          <w:lang w:val="zh-CN"/>
        </w:rPr>
        <w:t>蛋白诱饵诱捕器</w:t>
      </w:r>
    </w:p>
    <w:p>
      <w:pPr>
        <w:spacing w:line="560" w:lineRule="exact"/>
        <w:ind w:firstLineChars="200" w:firstLine="632"/>
        <w:jc w:val="left"/>
      </w:pPr>
      <w:r>
        <w:t>注：每套诱捕器含挂钩、隔网及适量的棉花团、吸管和手套。</w:t>
      </w:r>
    </w:p>
    <w:p>
      <w:pPr>
        <w:pStyle w:val="24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黑体_GBK"/>
          <w:snapToGrid w:val="0"/>
          <w:color w:val="000000"/>
          <w:sz w:val="32"/>
          <w:szCs w:val="32"/>
          <w:lang w:val="zh-CN" w:eastAsia="zh-CN"/>
        </w:rPr>
      </w:pPr>
      <w:r>
        <w:rPr>
          <w:rFonts w:eastAsia="方正黑体_GBK" w:hint="eastAsia"/>
          <w:snapToGrid w:val="0"/>
          <w:color w:val="000000"/>
          <w:sz w:val="32"/>
          <w:szCs w:val="32"/>
          <w:lang w:val="zh-CN" w:eastAsia="zh-CN"/>
        </w:rPr>
        <w:t>二、更换频次</w:t>
      </w:r>
    </w:p>
    <w:p>
      <w:pPr>
        <w:pStyle w:val="25"/>
        <w:autoSpaceDE w:val="0"/>
        <w:autoSpaceDN w:val="0"/>
        <w:adjustRightInd w:val="0"/>
        <w:snapToGrid w:val="0"/>
        <w:spacing w:line="560" w:lineRule="exact"/>
        <w:jc w:val="center"/>
        <w:rPr>
          <w:rFonts w:eastAsia="方正仿宋_GBK"/>
          <w:b/>
          <w:color w:val="000000"/>
          <w:kern w:val="0"/>
          <w:sz w:val="32"/>
          <w:szCs w:val="32"/>
        </w:rPr>
      </w:pPr>
      <w:r>
        <w:rPr>
          <w:rFonts w:eastAsia="方正仿宋_GBK" w:hint="eastAsia"/>
          <w:b/>
          <w:color w:val="000000"/>
          <w:kern w:val="0"/>
          <w:sz w:val="32"/>
          <w:szCs w:val="32"/>
          <w:lang w:val="zh-CN"/>
        </w:rPr>
        <w:t>表</w:t>
      </w:r>
      <w:r>
        <w:rPr>
          <w:rFonts w:eastAsia="方正仿宋_GBK"/>
          <w:b/>
          <w:color w:val="000000"/>
          <w:kern w:val="0"/>
          <w:sz w:val="32"/>
          <w:szCs w:val="32"/>
        </w:rPr>
        <w:t xml:space="preserve">1 </w:t>
      </w:r>
      <w:r>
        <w:rPr>
          <w:rFonts w:eastAsia="方正仿宋_GBK" w:hint="eastAsia"/>
          <w:b/>
          <w:color w:val="000000"/>
          <w:kern w:val="0"/>
          <w:sz w:val="32"/>
          <w:szCs w:val="32"/>
          <w:lang w:val="zh-CN"/>
        </w:rPr>
        <w:t>诱捕器维护间隔与方法</w:t>
      </w:r>
    </w:p>
    <w:tbl>
      <w:tblPr>
        <w:jc w:val="cen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048"/>
        <w:gridCol w:w="2004"/>
        <w:gridCol w:w="4000"/>
      </w:tblGrid>
      <w:tr>
        <w:trPr>
          <w:trHeight w:val="349"/>
        </w:trPr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诱剂</w:t>
            </w:r>
          </w:p>
        </w:tc>
        <w:tc>
          <w:tcPr>
            <w:tcW w:w="113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首次用量</w:t>
            </w:r>
          </w:p>
        </w:tc>
        <w:tc>
          <w:tcPr>
            <w:tcW w:w="110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间隔</w:t>
            </w:r>
          </w:p>
        </w:tc>
        <w:tc>
          <w:tcPr>
            <w:tcW w:w="220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维护方法</w:t>
            </w:r>
          </w:p>
        </w:tc>
      </w:tr>
      <w:tr>
        <w:trPr>
          <w:trHeight w:val="349"/>
        </w:trPr>
        <w:tc>
          <w:tcPr>
            <w:tcW w:w="5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TML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1 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粒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1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个月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换新诱芯</w:t>
            </w: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vertAlign w:val="superscript"/>
                <w:lang w:val="zh-CN"/>
              </w:rPr>
              <w:t>①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，同时更换粘蝇纸</w:t>
            </w:r>
          </w:p>
        </w:tc>
      </w:tr>
      <w:tr>
        <w:trPr>
          <w:trHeight w:val="349"/>
        </w:trPr>
        <w:tc>
          <w:tcPr>
            <w:tcW w:w="5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ME</w:t>
            </w: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vertAlign w:val="superscript"/>
              </w:rPr>
              <w:t>②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3 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～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4 mL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</w:rPr>
              <w:t>个月后添加，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</w:rPr>
              <w:t>个月后更换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添加时，加相应诱剂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2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～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，棉花团</w:t>
            </w: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vertAlign w:val="superscript"/>
                <w:lang w:val="zh-CN"/>
              </w:rPr>
              <w:t>①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使用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</w:rPr>
              <w:t>个后需更换</w:t>
            </w:r>
          </w:p>
        </w:tc>
      </w:tr>
      <w:tr>
        <w:trPr>
          <w:trHeight w:val="349"/>
        </w:trPr>
        <w:tc>
          <w:tcPr>
            <w:tcW w:w="5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CUE</w:t>
            </w:r>
            <w:r>
              <w:rPr>
                <w:rFonts w:eastAsia="方正仿宋_GBK" w:hint="eastAsia"/>
                <w:b/>
                <w:bCs/>
                <w:color w:val="000000"/>
                <w:kern w:val="0"/>
                <w:sz w:val="28"/>
                <w:szCs w:val="28"/>
                <w:vertAlign w:val="superscript"/>
              </w:rPr>
              <w:t>②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3 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～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4 mL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同上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同上</w:t>
            </w:r>
          </w:p>
        </w:tc>
      </w:tr>
      <w:tr>
        <w:trPr>
          <w:trHeight w:val="349"/>
        </w:trPr>
        <w:tc>
          <w:tcPr>
            <w:tcW w:w="5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PB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600mL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～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650mL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清水及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</w:rPr>
              <w:t>粒蛋白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半个月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25"/>
              <w:autoSpaceDE w:val="0"/>
              <w:autoSpaceDN w:val="0"/>
              <w:adjustRightInd w:val="0"/>
              <w:snapToGrid w:val="0"/>
              <w:spacing w:line="56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洗净后，重新加约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60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～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650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mL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清水，并投入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6</w:t>
            </w: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>粒蛋白</w:t>
            </w:r>
          </w:p>
        </w:tc>
      </w:tr>
    </w:tbl>
    <w:p>
      <w:pPr>
        <w:pStyle w:val="28"/>
        <w:autoSpaceDE w:val="0"/>
        <w:autoSpaceDN w:val="0"/>
        <w:adjustRightInd w:val="0"/>
        <w:snapToGrid w:val="0"/>
        <w:spacing w:line="560" w:lineRule="exact"/>
        <w:ind w:left="707" w:hangingChars="300" w:hanging="707"/>
        <w:rPr>
          <w:rFonts w:eastAsia="方正仿宋_GBK"/>
          <w:color w:val="000000"/>
          <w:kern w:val="0"/>
          <w:sz w:val="24"/>
          <w:lang w:val="zh-CN"/>
        </w:rPr>
      </w:pPr>
      <w:r>
        <w:rPr>
          <w:rFonts w:eastAsia="方正仿宋_GBK"/>
          <w:color w:val="000000"/>
          <w:kern w:val="0"/>
          <w:sz w:val="24"/>
          <w:lang w:val="zh-CN"/>
        </w:rPr>
        <w:t>注：</w:t>
      </w:r>
      <w:r>
        <w:rPr>
          <w:rFonts w:eastAsia="方正仿宋_GBK" w:hint="eastAsia"/>
          <w:b/>
          <w:bCs/>
          <w:color w:val="000000"/>
          <w:kern w:val="0"/>
          <w:sz w:val="24"/>
          <w:vertAlign w:val="superscript"/>
          <w:lang w:val="zh-CN"/>
        </w:rPr>
        <w:t>①</w:t>
      </w:r>
      <w:r>
        <w:rPr>
          <w:rFonts w:eastAsia="方正仿宋_GBK" w:hint="eastAsia"/>
          <w:color w:val="000000"/>
          <w:kern w:val="0"/>
          <w:sz w:val="24"/>
          <w:lang w:val="zh-CN"/>
        </w:rPr>
        <w:t>结果检查间隔，</w:t>
      </w:r>
      <w:r>
        <w:rPr>
          <w:rFonts w:eastAsia="方正仿宋_GBK"/>
          <w:color w:val="000000"/>
          <w:kern w:val="0"/>
          <w:sz w:val="24"/>
          <w:lang w:val="zh-CN"/>
        </w:rPr>
        <w:t>可根据当地的气候条件等因素作适当调整；发现疫情时，需按指定的</w:t>
      </w:r>
      <w:r>
        <w:rPr>
          <w:rFonts w:eastAsia="方正仿宋_GBK" w:hint="eastAsia"/>
          <w:color w:val="000000"/>
          <w:kern w:val="0"/>
          <w:sz w:val="24"/>
          <w:lang w:val="zh-CN"/>
        </w:rPr>
        <w:t>时间</w:t>
      </w:r>
      <w:r>
        <w:rPr>
          <w:rFonts w:eastAsia="方正仿宋_GBK"/>
          <w:color w:val="000000"/>
          <w:kern w:val="0"/>
          <w:sz w:val="24"/>
          <w:lang w:val="zh-CN"/>
        </w:rPr>
        <w:t>间隔检查</w:t>
      </w:r>
      <w:r>
        <w:rPr>
          <w:rFonts w:eastAsia="方正仿宋_GBK" w:hint="eastAsia"/>
          <w:color w:val="000000"/>
          <w:kern w:val="0"/>
          <w:sz w:val="24"/>
          <w:lang w:val="zh-CN"/>
        </w:rPr>
        <w:t>。</w:t>
      </w:r>
    </w:p>
    <w:p>
      <w:pPr>
        <w:pStyle w:val="28"/>
        <w:autoSpaceDE w:val="0"/>
        <w:autoSpaceDN w:val="0"/>
        <w:adjustRightInd w:val="0"/>
        <w:snapToGrid w:val="0"/>
        <w:spacing w:line="560" w:lineRule="exact"/>
        <w:ind w:firstLineChars="200" w:firstLine="472"/>
        <w:rPr>
          <w:rFonts w:eastAsia="方正仿宋_GBK"/>
          <w:color w:val="000000"/>
          <w:kern w:val="0"/>
          <w:sz w:val="24"/>
          <w:lang w:val="zh-CN"/>
        </w:rPr>
      </w:pPr>
      <w:r>
        <w:rPr>
          <w:rFonts w:eastAsia="方正仿宋_GBK" w:hint="eastAsia"/>
          <w:b/>
          <w:bCs/>
          <w:color w:val="000000"/>
          <w:kern w:val="0"/>
          <w:sz w:val="24"/>
          <w:vertAlign w:val="superscript"/>
        </w:rPr>
        <w:t xml:space="preserve">② </w:t>
      </w:r>
      <w:r>
        <w:rPr>
          <w:rFonts w:eastAsia="方正仿宋_GBK" w:hint="eastAsia"/>
          <w:color w:val="000000"/>
          <w:kern w:val="0"/>
          <w:sz w:val="24"/>
        </w:rPr>
        <w:t>使用ME和CUE时，</w:t>
      </w:r>
      <w:r>
        <w:rPr>
          <w:rFonts w:eastAsia="方正仿宋_GBK"/>
          <w:color w:val="000000"/>
          <w:kern w:val="0"/>
          <w:sz w:val="24"/>
          <w:lang w:val="zh-CN"/>
        </w:rPr>
        <w:t>请</w:t>
      </w:r>
      <w:r>
        <w:rPr>
          <w:rFonts w:eastAsia="方正仿宋_GBK" w:hint="eastAsia"/>
          <w:color w:val="000000"/>
          <w:kern w:val="0"/>
          <w:sz w:val="24"/>
          <w:lang w:val="zh-CN"/>
        </w:rPr>
        <w:t>按</w:t>
      </w:r>
      <w:r>
        <w:rPr>
          <w:rFonts w:eastAsia="方正仿宋_GBK"/>
          <w:color w:val="000000"/>
          <w:kern w:val="0"/>
          <w:sz w:val="24"/>
          <w:lang w:val="zh-CN"/>
        </w:rPr>
        <w:t>农药安全使用相关要求</w:t>
      </w:r>
      <w:r>
        <w:rPr>
          <w:rFonts w:eastAsia="方正仿宋_GBK" w:hint="eastAsia"/>
          <w:color w:val="000000"/>
          <w:kern w:val="0"/>
          <w:sz w:val="24"/>
          <w:lang w:val="zh-CN"/>
        </w:rPr>
        <w:t>操作</w:t>
      </w:r>
      <w:r>
        <w:rPr>
          <w:rFonts w:eastAsia="方正仿宋_GBK"/>
          <w:color w:val="000000"/>
          <w:kern w:val="0"/>
          <w:sz w:val="24"/>
          <w:lang w:val="zh-CN"/>
        </w:rPr>
        <w:t>，</w:t>
      </w:r>
      <w:r>
        <w:rPr>
          <w:rFonts w:eastAsia="方正仿宋_GBK" w:hint="eastAsia"/>
          <w:color w:val="000000"/>
          <w:kern w:val="0"/>
          <w:sz w:val="24"/>
          <w:lang w:val="zh-CN"/>
        </w:rPr>
        <w:t>且</w:t>
      </w:r>
      <w:r>
        <w:rPr>
          <w:rFonts w:eastAsia="方正仿宋_GBK"/>
          <w:color w:val="000000"/>
          <w:kern w:val="0"/>
          <w:sz w:val="24"/>
          <w:lang w:val="zh-CN"/>
        </w:rPr>
        <w:t>M</w:t>
      </w:r>
      <w:r>
        <w:rPr>
          <w:rFonts w:eastAsia="方正仿宋_GBK" w:hint="eastAsia"/>
          <w:color w:val="000000"/>
          <w:kern w:val="0"/>
          <w:sz w:val="24"/>
        </w:rPr>
        <w:t>E</w:t>
      </w:r>
      <w:r>
        <w:rPr>
          <w:rFonts w:eastAsia="方正仿宋_GBK"/>
          <w:color w:val="000000"/>
          <w:kern w:val="0"/>
          <w:sz w:val="24"/>
          <w:lang w:val="zh-CN"/>
        </w:rPr>
        <w:t>和C</w:t>
      </w:r>
      <w:r>
        <w:rPr>
          <w:rFonts w:eastAsia="方正仿宋_GBK" w:hint="eastAsia"/>
          <w:color w:val="000000"/>
          <w:kern w:val="0"/>
          <w:sz w:val="24"/>
        </w:rPr>
        <w:t>UE</w:t>
      </w:r>
      <w:r>
        <w:rPr>
          <w:rFonts w:eastAsia="方正仿宋_GBK"/>
          <w:color w:val="000000"/>
          <w:kern w:val="0"/>
          <w:sz w:val="24"/>
          <w:lang w:val="zh-CN"/>
        </w:rPr>
        <w:t>不能加到同一个诱捕器内</w:t>
      </w:r>
      <w:r>
        <w:rPr>
          <w:rFonts w:eastAsia="方正仿宋_GBK" w:hint="eastAsia"/>
          <w:color w:val="000000"/>
          <w:kern w:val="0"/>
          <w:sz w:val="24"/>
          <w:lang w:val="zh-CN"/>
        </w:rPr>
        <w:t>；</w:t>
      </w:r>
      <w:r>
        <w:rPr>
          <w:rFonts w:eastAsia="方正仿宋_GBK"/>
          <w:color w:val="000000"/>
          <w:kern w:val="0"/>
          <w:sz w:val="24"/>
          <w:lang w:val="zh-CN"/>
        </w:rPr>
        <w:t>使用过的诱芯和棉花团应埋入土中，不得随意丢弃。</w:t>
      </w:r>
    </w:p>
    <w:p>
      <w:pPr>
        <w:pStyle w:val="24"/>
        <w:autoSpaceDE w:val="0"/>
        <w:autoSpaceDN w:val="0"/>
        <w:adjustRightInd w:val="0"/>
        <w:snapToGrid w:val="0"/>
        <w:spacing w:line="560" w:lineRule="exact"/>
        <w:ind w:firstLine="587"/>
        <w:rPr>
          <w:rFonts w:ascii="方正黑体_GBK" w:eastAsia="方正黑体_GBK"/>
          <w:color w:val="000000"/>
          <w:sz w:val="32"/>
          <w:szCs w:val="32"/>
          <w:lang w:eastAsia="zh-CN"/>
        </w:rPr>
      </w:pPr>
      <w:r>
        <w:rPr>
          <w:rFonts w:ascii="方正黑体_GBK" w:eastAsia="方正黑体_GBK" w:hint="eastAsia"/>
          <w:color w:val="000000"/>
          <w:sz w:val="32"/>
          <w:szCs w:val="32"/>
          <w:lang w:eastAsia="zh-CN"/>
        </w:rPr>
        <w:t>三、数量</w:t>
      </w:r>
    </w:p>
    <w:p>
      <w:pPr>
        <w:pStyle w:val="24"/>
        <w:spacing w:line="560" w:lineRule="exact"/>
        <w:ind w:firstLineChars="150" w:firstLine="474"/>
        <w:rPr>
          <w:rFonts w:ascii="方正楷体_GBK" w:eastAsia="方正楷体_GBK"/>
          <w:b/>
          <w:bCs/>
          <w:color w:val="000000"/>
          <w:sz w:val="32"/>
          <w:szCs w:val="32"/>
          <w:lang w:eastAsia="zh-CN"/>
        </w:rPr>
      </w:pPr>
      <w:r>
        <w:rPr>
          <w:rFonts w:ascii="方正楷体_GBK" w:eastAsia="方正楷体_GBK" w:hint="eastAsia"/>
          <w:b/>
          <w:bCs/>
          <w:color w:val="000000"/>
          <w:sz w:val="32"/>
          <w:szCs w:val="32"/>
          <w:lang w:eastAsia="zh-CN"/>
        </w:rPr>
        <w:t>（一）诱剂量</w:t>
      </w:r>
    </w:p>
    <w:p>
      <w:pPr>
        <w:pStyle w:val="24"/>
        <w:spacing w:line="560" w:lineRule="exact"/>
        <w:ind w:firstLineChars="150" w:firstLine="414"/>
        <w:rPr>
          <w:rFonts w:eastAsia="方正仿宋_GBK"/>
          <w:color w:val="000000"/>
          <w:sz w:val="28"/>
          <w:szCs w:val="28"/>
          <w:lang w:eastAsia="zh-CN"/>
        </w:rPr>
      </w:pPr>
      <w:r>
        <w:rPr>
          <w:rFonts w:eastAsia="方正仿宋_GBK"/>
          <w:color w:val="000000"/>
          <w:sz w:val="28"/>
          <w:szCs w:val="28"/>
          <w:lang w:eastAsia="zh-CN"/>
        </w:rPr>
        <w:t>诱剂量需满足所有监测点4个月的监测量。诱剂更换频次如表1，各海关监测点数量如表2。需按表2、监测时间、诱剂更换频次计算诱剂量。</w:t>
      </w:r>
    </w:p>
    <w:tbl>
      <w:tblPr>
        <w:tblpPr w:leftFromText="180" w:rightFromText="180" w:vertAnchor="text" w:horzAnchor="margin" w:tblpXSpec="center" w:tblpY="66"/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785"/>
        <w:gridCol w:w="1100"/>
        <w:gridCol w:w="942"/>
        <w:gridCol w:w="1099"/>
        <w:gridCol w:w="942"/>
        <w:gridCol w:w="1099"/>
        <w:gridCol w:w="785"/>
        <w:gridCol w:w="1069"/>
      </w:tblGrid>
      <w:tr>
        <w:trPr>
          <w:trHeight w:val="300"/>
        </w:trPr>
        <w:tc>
          <w:tcPr>
            <w:tcW w:w="22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单位名称</w:t>
            </w:r>
          </w:p>
        </w:tc>
        <w:tc>
          <w:tcPr>
            <w:tcW w:w="18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地中海实蝇</w:t>
            </w:r>
          </w:p>
        </w:tc>
        <w:tc>
          <w:tcPr>
            <w:tcW w:w="20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桔小实蝇</w:t>
            </w:r>
          </w:p>
        </w:tc>
        <w:tc>
          <w:tcPr>
            <w:tcW w:w="20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瓜实蝇</w:t>
            </w:r>
          </w:p>
        </w:tc>
        <w:tc>
          <w:tcPr>
            <w:tcW w:w="18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蛋白诱饵</w:t>
            </w:r>
          </w:p>
        </w:tc>
      </w:tr>
      <w:tr>
        <w:trPr>
          <w:trHeight w:val="525"/>
        </w:trPr>
        <w:tc>
          <w:tcPr>
            <w:tcW w:w="1693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监测 点数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诱捕器编号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监测 点数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诱捕器编号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监测点数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诱捕器编号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监测 点数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</w:pPr>
            <w:r>
              <w:rPr>
                <w:rFonts w:ascii="Times New Roman" w:eastAsia="方正仿宋_GBK" w:hAnsi="Times New Roman"/>
                <w:b/>
                <w:sz w:val="28"/>
                <w:szCs w:val="28"/>
                <w:lang w:val="zh-CN"/>
              </w:rPr>
              <w:t>诱捕器编号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大连长兴岛海关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1～20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61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6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1～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13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1～5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1～1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丹东海关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21 ~ 28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59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58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4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～1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7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6～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营口海关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29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57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56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～22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鲅鱼圈海关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34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5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54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3～26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18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鞍山海关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44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53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52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</w:rPr>
              <w:t>27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～2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大窑湾海关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49～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51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5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8～31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6～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23～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大东港海关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9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8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32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33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19～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7～28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大连周水子机场海关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7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6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34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～39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29～30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金普海关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67～69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0～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42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23～2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31～33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本溪海关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70～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</w:rPr>
              <w:t>43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旅顺海关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</w:rPr>
              <w:t>44～4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35～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36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大连港湾海关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 xml:space="preserve">2 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75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76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47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48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～3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>
        <w:trPr>
          <w:trHeight w:val="420"/>
        </w:trPr>
        <w:tc>
          <w:tcPr>
            <w:tcW w:w="2226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庄河海关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77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49</w:t>
            </w:r>
            <w:r>
              <w:rPr>
                <w:rFonts w:ascii="Times New Roman" w:eastAsia="方正仿宋_GBK" w:hAnsi="Times New Roman"/>
                <w:color w:val="000000"/>
                <w:sz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50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vAlign w:val="center"/>
          </w:tcPr>
          <w:p>
            <w:pPr>
              <w:pStyle w:val="45"/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Times New Roman" w:eastAsia="方正仿宋_GBK" w:hAnsi="Times New Roman"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Times New Roman" w:eastAsia="方正仿宋_GBK" w:hAnsi="Times New Roman" w:hint="eastAsia"/>
                <w:color w:val="000000"/>
                <w:kern w:val="0"/>
                <w:sz w:val="28"/>
                <w:szCs w:val="28"/>
              </w:rPr>
              <w:t>40</w:t>
            </w:r>
          </w:p>
        </w:tc>
      </w:tr>
    </w:tbl>
    <w:p>
      <w:pPr>
        <w:pStyle w:val="24"/>
        <w:spacing w:line="560" w:lineRule="exact"/>
        <w:ind w:firstLineChars="150" w:firstLine="474"/>
        <w:rPr>
          <w:rFonts w:ascii="方正楷体_GBK" w:eastAsia="方正楷体_GBK"/>
          <w:b/>
          <w:bCs/>
          <w:color w:val="000000"/>
          <w:sz w:val="32"/>
          <w:szCs w:val="32"/>
          <w:lang w:val="zh-CN" w:eastAsia="zh-CN"/>
        </w:rPr>
      </w:pPr>
      <w:r>
        <w:rPr>
          <w:rFonts w:ascii="方正楷体_GBK" w:eastAsia="方正楷体_GBK" w:hint="eastAsia"/>
          <w:b/>
          <w:bCs/>
          <w:color w:val="000000"/>
          <w:sz w:val="32"/>
          <w:szCs w:val="32"/>
          <w:lang w:val="zh-CN" w:eastAsia="zh-CN"/>
        </w:rPr>
        <w:t>（二）采购</w:t>
      </w:r>
      <w:r>
        <w:rPr>
          <w:rFonts w:ascii="方正楷体_GBK" w:eastAsia="方正楷体_GBK"/>
          <w:b/>
          <w:bCs/>
          <w:color w:val="000000"/>
          <w:sz w:val="32"/>
          <w:szCs w:val="32"/>
          <w:lang w:val="zh-CN" w:eastAsia="zh-CN"/>
        </w:rPr>
        <w:t>需求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b/>
          <w:bCs/>
          <w:sz w:val="32"/>
          <w:szCs w:val="32"/>
          <w:lang w:val="zh-CN" w:eastAsia="zh-CN"/>
        </w:rPr>
      </w:pPr>
      <w:r>
        <w:rPr>
          <w:rFonts w:eastAsia="方正仿宋_GBK" w:hint="eastAsia"/>
          <w:b/>
          <w:bCs/>
          <w:sz w:val="32"/>
          <w:szCs w:val="32"/>
          <w:lang w:val="zh-CN" w:eastAsia="zh-CN"/>
        </w:rPr>
        <w:t>1.</w:t>
      </w:r>
      <w:r>
        <w:rPr>
          <w:rFonts w:eastAsia="方正仿宋_GBK"/>
          <w:b/>
          <w:bCs/>
          <w:sz w:val="32"/>
          <w:szCs w:val="32"/>
          <w:lang w:val="zh-CN" w:eastAsia="zh-CN"/>
        </w:rPr>
        <w:t>诱捕器数量</w:t>
      </w:r>
      <w:r>
        <w:rPr>
          <w:rFonts w:eastAsia="方正仿宋_GBK" w:hint="eastAsia"/>
          <w:b/>
          <w:bCs/>
          <w:sz w:val="32"/>
          <w:szCs w:val="32"/>
          <w:lang w:val="zh-CN" w:eastAsia="zh-CN"/>
        </w:rPr>
        <w:t>（共200个），其中</w:t>
      </w:r>
      <w:r>
        <w:rPr>
          <w:rFonts w:eastAsia="方正仿宋_GBK"/>
          <w:b/>
          <w:bCs/>
          <w:sz w:val="32"/>
          <w:szCs w:val="32"/>
          <w:lang w:val="zh-CN" w:eastAsia="zh-CN"/>
        </w:rPr>
        <w:t>：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 w:hint="eastAsia"/>
          <w:sz w:val="32"/>
          <w:szCs w:val="32"/>
          <w:lang w:val="zh-CN" w:eastAsia="zh-CN"/>
        </w:rPr>
        <w:t>液体诱剂诱捕器</w:t>
      </w:r>
      <w:r>
        <w:rPr>
          <w:rFonts w:eastAsia="方正仿宋_GBK"/>
          <w:sz w:val="32"/>
          <w:szCs w:val="32"/>
          <w:lang w:val="zh-CN" w:eastAsia="zh-CN"/>
        </w:rPr>
        <w:t>（适用桔小实蝇诱剂、瓜实蝇引诱剂）：80个；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 w:hint="eastAsia"/>
          <w:sz w:val="32"/>
          <w:szCs w:val="32"/>
          <w:lang w:val="zh-CN" w:eastAsia="zh-CN"/>
        </w:rPr>
        <w:t>固体诱芯诱捕器</w:t>
      </w:r>
      <w:r>
        <w:rPr>
          <w:rFonts w:eastAsia="方正仿宋_GBK"/>
          <w:sz w:val="32"/>
          <w:szCs w:val="32"/>
          <w:lang w:val="zh-CN" w:eastAsia="zh-CN"/>
        </w:rPr>
        <w:t xml:space="preserve"> （适用地中海实蝇诱芯）：80个；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 w:hint="eastAsia"/>
          <w:sz w:val="32"/>
          <w:szCs w:val="32"/>
          <w:lang w:val="zh-CN" w:eastAsia="zh-CN"/>
        </w:rPr>
        <w:t>蛋白诱饵诱捕器</w:t>
      </w:r>
      <w:r>
        <w:rPr>
          <w:rFonts w:eastAsia="方正仿宋_GBK"/>
          <w:sz w:val="32"/>
          <w:szCs w:val="32"/>
          <w:lang w:val="zh-CN" w:eastAsia="zh-CN"/>
        </w:rPr>
        <w:t>（适用于蛋白诱饵诱剂）：40个。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b/>
          <w:bCs/>
          <w:sz w:val="32"/>
          <w:szCs w:val="32"/>
          <w:lang w:val="zh-CN" w:eastAsia="zh-CN"/>
        </w:rPr>
      </w:pPr>
      <w:r>
        <w:rPr>
          <w:rFonts w:eastAsia="方正仿宋_GBK" w:hint="eastAsia"/>
          <w:b/>
          <w:bCs/>
          <w:sz w:val="32"/>
          <w:szCs w:val="32"/>
          <w:lang w:val="zh-CN" w:eastAsia="zh-CN"/>
        </w:rPr>
        <w:t>2.</w:t>
      </w:r>
      <w:r>
        <w:rPr>
          <w:rFonts w:eastAsia="方正仿宋_GBK"/>
          <w:b/>
          <w:bCs/>
          <w:sz w:val="32"/>
          <w:szCs w:val="32"/>
          <w:lang w:val="zh-CN" w:eastAsia="zh-CN"/>
        </w:rPr>
        <w:t>诱剂数量：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/>
          <w:sz w:val="32"/>
          <w:szCs w:val="32"/>
          <w:lang w:val="zh-CN" w:eastAsia="zh-CN"/>
        </w:rPr>
        <w:t>地中海实蝇诱芯336个、桔小实蝇诱剂740ml。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/>
          <w:sz w:val="32"/>
          <w:szCs w:val="32"/>
          <w:lang w:val="zh-CN" w:eastAsia="zh-CN"/>
        </w:rPr>
        <w:t>瓜实蝇诱剂440ml、蛋白诱饵12.6kg。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ascii="方正黑体_GBK" w:eastAsia="方正黑体_GBK"/>
          <w:color w:val="000000"/>
          <w:sz w:val="32"/>
          <w:szCs w:val="32"/>
          <w:lang w:eastAsia="zh-CN"/>
        </w:rPr>
      </w:pPr>
      <w:r>
        <w:rPr>
          <w:rFonts w:ascii="方正黑体_GBK" w:eastAsia="方正黑体_GBK" w:hint="eastAsia"/>
          <w:color w:val="000000"/>
          <w:sz w:val="32"/>
          <w:szCs w:val="32"/>
          <w:lang w:eastAsia="zh-CN"/>
        </w:rPr>
        <w:t>四、监测时间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="587"/>
        <w:rPr>
          <w:rFonts w:eastAsia="方正仿宋_GBK"/>
          <w:sz w:val="32"/>
          <w:szCs w:val="32"/>
          <w:lang w:eastAsia="zh-CN"/>
        </w:rPr>
      </w:pPr>
      <w:r>
        <w:rPr>
          <w:rFonts w:eastAsia="方正仿宋_GBK"/>
          <w:sz w:val="32"/>
          <w:szCs w:val="32"/>
          <w:lang w:eastAsia="zh-CN"/>
        </w:rPr>
        <w:t>6月15日至10月15日。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ascii="方正黑体_GBK" w:eastAsia="方正黑体_GBK" w:hint="eastAsia"/>
          <w:color w:val="000000"/>
          <w:sz w:val="32"/>
          <w:szCs w:val="32"/>
          <w:lang w:eastAsia="zh-CN"/>
        </w:rPr>
      </w:pPr>
      <w:r>
        <w:rPr>
          <w:rFonts w:ascii="方正黑体_GBK" w:eastAsia="方正黑体_GBK" w:hint="eastAsia"/>
          <w:color w:val="000000"/>
          <w:sz w:val="32"/>
          <w:szCs w:val="32"/>
          <w:lang w:eastAsia="zh-CN"/>
        </w:rPr>
        <w:t>五、邮寄单位</w:t>
      </w:r>
    </w:p>
    <w:p>
      <w:pPr>
        <w:pStyle w:val="63"/>
        <w:autoSpaceDE w:val="0"/>
        <w:autoSpaceDN w:val="0"/>
        <w:adjustRightInd w:val="0"/>
        <w:snapToGrid w:val="0"/>
        <w:spacing w:line="560" w:lineRule="exact"/>
        <w:ind w:firstLineChars="200" w:firstLine="632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/>
          <w:sz w:val="32"/>
          <w:szCs w:val="32"/>
          <w:lang w:val="zh-CN" w:eastAsia="zh-CN"/>
        </w:rPr>
        <w:t>大连长兴岛海关、丹东海关、营口海关、鲅鱼圈海关、鞍山海关、大窑湾海关、大东港海关、大连周水子机场海关、金普海关、本溪海关、旅顺海关、大连港湾海关、庄河海关。</w:t>
      </w:r>
    </w:p>
    <w:p>
      <w:pPr>
        <w:pStyle w:val="64"/>
        <w:adjustRightInd w:val="0"/>
        <w:snapToGrid w:val="0"/>
        <w:spacing w:line="560" w:lineRule="exact"/>
        <w:ind w:firstLineChars="200" w:firstLine="616"/>
        <w:jc w:val="both"/>
        <w:rPr>
          <w:rFonts w:eastAsia="方正仿宋_GBK"/>
          <w:sz w:val="32"/>
          <w:szCs w:val="32"/>
          <w:lang w:val="zh-CN" w:eastAsia="zh-CN"/>
        </w:rPr>
      </w:pPr>
      <w:r>
        <w:rPr>
          <w:rFonts w:eastAsia="方正仿宋_GBK"/>
          <w:snapToGrid w:val="0"/>
          <w:spacing w:val="-4"/>
          <w:sz w:val="32"/>
          <w:szCs w:val="32"/>
        </w:rPr>
        <w:t>如诱芯需冷藏保存，请分期诱剂诱芯。</w:t>
      </w:r>
    </w:p>
    <w:sectPr>
      <w:footerReference w:type="default" r:id="rId2"/>
      <w:footerReference w:type="even" r:id="rId3"/>
      <w:pgSz w:w="11907" w:h="16840"/>
      <w:pgMar w:top="2098" w:right="1474" w:bottom="1985" w:left="1588" w:header="1814" w:footer="1474" w:gutter="0"/>
      <w:pgNumType w:start="1"/>
      <w:docGrid w:type="linesAndChars" w:linePitch="580" w:charSpace="-84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方正小标宋简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方正黑体_GBK"/>
    <w:panose1 w:val="02010609060101010101"/>
    <w:charset w:val="86"/>
    <w:family w:val="modern"/>
    <w:pitch w:val="variable"/>
    <w:sig w:usb0="00000001" w:usb1="080E0000" w:usb2="00000010" w:usb3="00000000" w:csb0="00040000" w:csb1="00000000"/>
  </w:font>
  <w:font w:name="SimSun">
    <w:altName w:val="方正小标宋简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7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73"/>
      </w:rPr>
      <w:fldChar w:fldCharType="begin"/>
    </w:r>
    <w:r>
      <w:rPr>
        <w:rStyle w:val="73"/>
      </w:rPr>
      <w:instrText>Page</w:instrText>
    </w:r>
    <w:r>
      <w:rPr>
        <w:rStyle w:val="73"/>
      </w:rPr>
      <w:fldChar w:fldCharType="separate"/>
    </w:r>
    <w:r>
      <w:rPr>
        <w:rStyle w:val="73"/>
      </w:rPr>
      <w:t>0</w:t>
    </w:r>
    <w:r>
      <w:rPr>
        <w:rStyle w:val="73"/>
      </w:rPr>
      <w:fldChar w:fldCharType="end"/>
    </w:r>
  </w:p>
  <w:p>
    <w:pPr>
      <w:pStyle w:val="17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4</w:t>
    </w:r>
    <w:r>
      <w:rPr>
        <w:sz w:val="32"/>
        <w:szCs w:val="32"/>
      </w:rPr>
      <w:fldChar w:fldCharType="end"/>
    </w: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7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73"/>
      </w:rPr>
      <w:fldChar w:fldCharType="begin"/>
    </w:r>
    <w:r>
      <w:rPr>
        <w:rStyle w:val="73"/>
      </w:rPr>
      <w:instrText>Page</w:instrText>
    </w:r>
    <w:r>
      <w:rPr>
        <w:rStyle w:val="73"/>
      </w:rPr>
      <w:fldChar w:fldCharType="separate"/>
    </w:r>
    <w:r>
      <w:rPr>
        <w:rStyle w:val="73"/>
      </w:rPr>
      <w:t>0</w:t>
    </w:r>
    <w:r>
      <w:rPr>
        <w:rStyle w:val="73"/>
      </w:rPr>
      <w:fldChar w:fldCharType="end"/>
    </w:r>
  </w:p>
  <w:p>
    <w:pPr>
      <w:pStyle w:val="17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</w:rPr>
  </w:style>
  <w:style w:type="character" w:default="1" w:styleId="10">
    <w:name w:val="Default Paragraph Font"/>
  </w:style>
  <w:style w:type="paragraph" w:styleId="15">
    <w:name w:val="index 7"/>
    <w:basedOn w:val="0"/>
    <w:autoRedefine/>
    <w:next w:val="0"/>
    <w:pPr>
      <w:ind w:left="2520"/>
    </w:p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7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8">
    <w:name w:val="样式 4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21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">
    <w:name w:val="样式 1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23">
    <w:name w:val="样式 2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24">
    <w:name w:val="样式 3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25">
    <w:name w:val="样式 3 10 磅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9">
    <w:name w:val="index 6"/>
    <w:basedOn w:val="0"/>
    <w:autoRedefine/>
    <w:next w:val="0"/>
    <w:pPr>
      <w:ind w:left="2100"/>
    </w:pPr>
  </w:style>
  <w:style w:type="paragraph" w:styleId="30">
    <w:name w:val="index 8"/>
    <w:basedOn w:val="0"/>
    <w:autoRedefine/>
    <w:next w:val="0"/>
    <w:pPr>
      <w:ind w:left="2940"/>
    </w:pPr>
  </w:style>
  <w:style w:type="paragraph" w:styleId="31">
    <w:name w:val="index 9"/>
    <w:basedOn w:val="0"/>
    <w:autoRedefine/>
    <w:next w:val="0"/>
    <w:pPr>
      <w:ind w:left="3360"/>
    </w:pPr>
  </w:style>
  <w:style w:type="paragraph" w:styleId="32">
    <w:name w:val="toc 1"/>
    <w:basedOn w:val="0"/>
    <w:autoRedefine/>
    <w:next w:val="0"/>
  </w:style>
  <w:style w:type="paragraph" w:styleId="33">
    <w:name w:val="toc 2"/>
    <w:basedOn w:val="0"/>
    <w:autoRedefine/>
    <w:next w:val="0"/>
    <w:pPr>
      <w:ind w:left="420"/>
    </w:pPr>
  </w:style>
  <w:style w:type="paragraph" w:styleId="34">
    <w:name w:val="toc 3"/>
    <w:basedOn w:val="0"/>
    <w:autoRedefine/>
    <w:next w:val="0"/>
    <w:pPr>
      <w:ind w:left="840"/>
    </w:pPr>
  </w:style>
  <w:style w:type="paragraph" w:styleId="35">
    <w:name w:val="toc 4"/>
    <w:basedOn w:val="0"/>
    <w:autoRedefine/>
    <w:next w:val="0"/>
    <w:pPr>
      <w:ind w:left="1260"/>
    </w:pPr>
  </w:style>
  <w:style w:type="paragraph" w:styleId="36">
    <w:name w:val="toc 5"/>
    <w:basedOn w:val="0"/>
    <w:autoRedefine/>
    <w:next w:val="0"/>
    <w:pPr>
      <w:ind w:left="1680"/>
    </w:pPr>
  </w:style>
  <w:style w:type="paragraph" w:styleId="37">
    <w:name w:val="toc 6"/>
    <w:basedOn w:val="0"/>
    <w:autoRedefine/>
    <w:next w:val="0"/>
    <w:pPr>
      <w:ind w:left="2100"/>
    </w:pPr>
  </w:style>
  <w:style w:type="paragraph" w:styleId="38">
    <w:name w:val="toc 7"/>
    <w:basedOn w:val="0"/>
    <w:autoRedefine/>
    <w:next w:val="0"/>
    <w:pPr>
      <w:ind w:left="2520"/>
    </w:pPr>
  </w:style>
  <w:style w:type="paragraph" w:styleId="39">
    <w:name w:val="toc 8"/>
    <w:basedOn w:val="0"/>
    <w:autoRedefine/>
    <w:next w:val="0"/>
    <w:pPr>
      <w:ind w:left="2940"/>
    </w:pPr>
  </w:style>
  <w:style w:type="paragraph" w:styleId="40">
    <w:name w:val="toc 9"/>
    <w:basedOn w:val="0"/>
    <w:autoRedefine/>
    <w:next w:val="0"/>
    <w:pPr>
      <w:ind w:left="3360"/>
    </w:pPr>
  </w:style>
  <w:style w:type="paragraph" w:styleId="41">
    <w:name w:val="Normal Indent"/>
    <w:basedOn w:val="0"/>
    <w:pPr>
      <w:ind w:firstLine="420"/>
    </w:pPr>
  </w:style>
  <w:style w:type="paragraph" w:styleId="42">
    <w:name w:val="footnote text"/>
    <w:basedOn w:val="0"/>
    <w:pPr>
      <w:snapToGrid w:val="0"/>
      <w:jc w:val="left"/>
    </w:pPr>
    <w:rPr>
      <w:sz w:val="18"/>
    </w:rPr>
  </w:style>
  <w:style w:type="paragraph" w:styleId="43">
    <w:name w:val="annotation text"/>
    <w:basedOn w:val="0"/>
    <w:pPr>
      <w:jc w:val="left"/>
    </w:pPr>
  </w:style>
  <w:style w:type="paragraph" w:styleId="44">
    <w:name w:val="index heading"/>
    <w:basedOn w:val="0"/>
    <w:rPr>
      <w:rFonts w:ascii="Arial" w:hAnsi="Arial"/>
      <w:b/>
    </w:rPr>
  </w:style>
  <w:style w:type="paragraph" w:styleId="45">
    <w:name w:val="Plain Text"/>
    <w:next w:val="18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46">
    <w:name w:val="样式 20 10 磅"/>
    <w:next w:val="44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47">
    <w:name w:val="样式 19 10 磅"/>
    <w:next w:val="43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48">
    <w:name w:val="样式 18 10 磅"/>
    <w:next w:val="42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49">
    <w:name w:val="样式 17 10 磅"/>
    <w:next w:val="41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0">
    <w:name w:val="样式 16 10 磅"/>
    <w:next w:val="40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1">
    <w:name w:val="样式 15 10 磅"/>
    <w:next w:val="39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2">
    <w:name w:val="样式 14 10 磅"/>
    <w:next w:val="38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3">
    <w:name w:val="样式 13 10 磅"/>
    <w:next w:val="37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4">
    <w:name w:val="样式 12 10 磅"/>
    <w:next w:val="36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5">
    <w:name w:val="样式 11 10 磅"/>
    <w:next w:val="35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6">
    <w:name w:val="样式 10 10 磅"/>
    <w:next w:val="34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7">
    <w:name w:val="样式 9 10 磅"/>
    <w:next w:val="33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8">
    <w:name w:val="样式 8 10 磅"/>
    <w:next w:val="32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59">
    <w:name w:val="样式 7 10 磅"/>
    <w:next w:val="31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60">
    <w:name w:val="样式 6 10 磅"/>
    <w:next w:val="30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61">
    <w:name w:val="样式 5 10 磅"/>
    <w:next w:val="29"/>
    <w:pPr>
      <w:widowControl w:val="0"/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62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4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paragraph" w:customStyle="1" w:styleId="64">
    <w:name w:val="样式 5 小四"/>
    <w:rPr>
      <w:rFonts w:ascii="Times New Roman" w:eastAsia="SimSun" w:cs="Times New Roman" w:hAnsi="Times New Roman"/>
      <w:sz w:val="24"/>
      <w:szCs w:val="24"/>
      <w:lang w:val="en-US" w:eastAsia="zh-CN" w:bidi="ar-SA"/>
    </w:rPr>
  </w:style>
  <w:style w:type="character" w:styleId="73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image" Target="media/2.jpeg"/><Relationship Id="rId5" Type="http://schemas.openxmlformats.org/officeDocument/2006/relationships/styles" Target="styles.xml"/><Relationship Id="rId6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1737</TotalTime>
  <Application>Yozo_Office</Application>
  <Pages>5</Pages>
  <Words>1574</Words>
  <Characters>1999</Characters>
  <Lines>235</Lines>
  <Paragraphs>189</Paragraphs>
  <CharactersWithSpaces>2045</CharactersWithSpaces>
  <Company>DLHG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丁明政</dc:creator>
  <cp:lastModifiedBy>郁风</cp:lastModifiedBy>
  <cp:revision>2</cp:revision>
  <cp:lastPrinted>2026-06-15T06:05:02Z</cp:lastPrinted>
  <dcterms:created xsi:type="dcterms:W3CDTF">2023-05-18T02:35:00Z</dcterms:created>
  <dcterms:modified xsi:type="dcterms:W3CDTF">2026-06-15T06:10:02Z</dcterms:modified>
</cp:coreProperties>
</file>